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50" w:rightFromText="150" w:bottomFromText="119" w:vertAnchor="text" w:horzAnchor="margin" w:tblpXSpec="center" w:tblpY="-687"/>
        <w:tblW w:w="5640" w:type="pct"/>
        <w:tblCellSpacing w:w="30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7"/>
      </w:tblGrid>
      <w:tr w:rsidR="00D96DD9" w:rsidRPr="00C42C88" w:rsidTr="00380C22">
        <w:trPr>
          <w:tblCellSpacing w:w="30" w:type="dxa"/>
        </w:trPr>
        <w:tc>
          <w:tcPr>
            <w:tcW w:w="4940" w:type="pct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D9" w:rsidRPr="00DE447F" w:rsidRDefault="00DE447F" w:rsidP="00380C22">
            <w:pPr>
              <w:spacing w:after="0" w:line="240" w:lineRule="auto"/>
              <w:jc w:val="both"/>
              <w:rPr>
                <w:rFonts w:eastAsia="Times New Roman" w:cs="Times New Roman"/>
                <w:color w:val="222222"/>
                <w:sz w:val="24"/>
                <w:szCs w:val="24"/>
                <w:lang w:eastAsia="es-MX"/>
              </w:rPr>
            </w:pPr>
            <w:r w:rsidRPr="00C42C88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  <w:t>ASUNTO:</w:t>
            </w:r>
            <w:r>
              <w:rPr>
                <w:rFonts w:eastAsia="Times New Roman" w:cs="Arial"/>
                <w:b/>
                <w:bCs/>
                <w:i/>
                <w:iCs/>
                <w:color w:val="222222"/>
                <w:sz w:val="24"/>
                <w:szCs w:val="24"/>
                <w:lang w:eastAsia="es-MX"/>
              </w:rPr>
              <w:t xml:space="preserve"> </w:t>
            </w:r>
            <w:bookmarkStart w:id="0" w:name="_GoBack"/>
            <w:r>
              <w:rPr>
                <w:rFonts w:eastAsia="Times New Roman" w:cs="Arial"/>
                <w:b/>
                <w:bCs/>
                <w:i/>
                <w:iCs/>
                <w:color w:val="222222"/>
                <w:sz w:val="24"/>
                <w:szCs w:val="24"/>
                <w:lang w:eastAsia="es-MX"/>
              </w:rPr>
              <w:t>OFERTA</w:t>
            </w:r>
            <w:r w:rsidR="00D96DD9">
              <w:rPr>
                <w:rFonts w:eastAsia="Times New Roman" w:cs="Arial"/>
                <w:b/>
                <w:bCs/>
                <w:i/>
                <w:iCs/>
                <w:color w:val="222222"/>
                <w:sz w:val="24"/>
                <w:szCs w:val="24"/>
                <w:lang w:eastAsia="es-MX"/>
              </w:rPr>
              <w:t xml:space="preserve"> FORMATIVA 2018 PARA DOCENTES. </w:t>
            </w:r>
            <w:bookmarkEnd w:id="0"/>
          </w:p>
        </w:tc>
      </w:tr>
      <w:tr w:rsidR="00D96DD9" w:rsidRPr="00C42C88" w:rsidTr="00380C22">
        <w:trPr>
          <w:tblCellSpacing w:w="30" w:type="dxa"/>
        </w:trPr>
        <w:tc>
          <w:tcPr>
            <w:tcW w:w="4940" w:type="pct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DD9" w:rsidRDefault="00D96DD9" w:rsidP="00D3657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es-MX"/>
              </w:rPr>
            </w:pPr>
            <w:r w:rsidRPr="00C42C88">
              <w:rPr>
                <w:rFonts w:eastAsia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es-MX"/>
              </w:rPr>
              <w:t>Descripción:</w:t>
            </w:r>
          </w:p>
          <w:p w:rsidR="00D96DD9" w:rsidRDefault="00387C9D" w:rsidP="00D3657A">
            <w:pPr>
              <w:pStyle w:val="Sinespaciado"/>
              <w:jc w:val="both"/>
            </w:pPr>
            <w:r>
              <w:t>C</w:t>
            </w:r>
            <w:r w:rsidR="00D96DD9">
              <w:t>on el propósito de dar cumplimiento al artículo 60</w:t>
            </w:r>
            <w:r w:rsidR="00380C22">
              <w:t xml:space="preserve"> </w:t>
            </w:r>
            <w:r w:rsidR="00D96DD9">
              <w:t xml:space="preserve">de la Ley General del Servicio Profesional Docente, la Secretaría de Educación de Veracruz y la Subsecretaría de Educación Básica a través de la Coordinación Estatal de Actualización Magisterial pone a disposición del personal educativo de Educación Básica </w:t>
            </w:r>
            <w:r w:rsidR="00D96DD9">
              <w:rPr>
                <w:b/>
              </w:rPr>
              <w:t xml:space="preserve">ofertas de formación </w:t>
            </w:r>
            <w:r w:rsidR="00D96DD9">
              <w:t>pertinentes, de calidad y gratuitas</w:t>
            </w:r>
            <w:r w:rsidR="00630F5E">
              <w:t>,</w:t>
            </w:r>
            <w:r w:rsidR="00D96DD9">
              <w:t xml:space="preserve"> que permiten conocer y atender las necesidades académicas que se originan por la puesta en marcha del Modelo Educativo en su conjunto y atender temas socialmente relevantes relacionados con las escuelas y aplicables desde la transversalidad de la práctica pedagógica.</w:t>
            </w:r>
          </w:p>
          <w:p w:rsidR="00630F5E" w:rsidRDefault="00630F5E" w:rsidP="00D3657A">
            <w:pPr>
              <w:pStyle w:val="Sinespaciado"/>
              <w:jc w:val="both"/>
            </w:pPr>
          </w:p>
          <w:p w:rsidR="00D96DD9" w:rsidRDefault="00D96DD9" w:rsidP="00D3657A">
            <w:pPr>
              <w:pStyle w:val="Sinespaciado"/>
              <w:jc w:val="both"/>
            </w:pPr>
            <w:r>
              <w:t>Es por ello que solicitamos la intervención en la amplia difusión de la</w:t>
            </w:r>
            <w:r w:rsidR="00380C22">
              <w:t>s</w:t>
            </w:r>
            <w:r>
              <w:t xml:space="preserve"> oferta</w:t>
            </w:r>
            <w:r w:rsidR="00380C22">
              <w:t>s</w:t>
            </w:r>
            <w:r>
              <w:t xml:space="preserve"> ya que el cupo es limitado para cada una de ellas, por lo que se sugiere hacer del conocimiento lo antes posible a todo el personal educativo a su cargo, con la finalidad de que puedan acceder al programa que sea de su interés:</w:t>
            </w:r>
          </w:p>
          <w:p w:rsidR="00D97F59" w:rsidRDefault="00D97F59" w:rsidP="00D3657A">
            <w:pPr>
              <w:pStyle w:val="Sinespaciado"/>
              <w:jc w:val="both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61"/>
              <w:gridCol w:w="2015"/>
              <w:gridCol w:w="1903"/>
              <w:gridCol w:w="1358"/>
              <w:gridCol w:w="3624"/>
            </w:tblGrid>
            <w:tr w:rsidR="00D97F59" w:rsidTr="00380C22">
              <w:tc>
                <w:tcPr>
                  <w:tcW w:w="661" w:type="dxa"/>
                  <w:shd w:val="clear" w:color="auto" w:fill="E7E6E6" w:themeFill="background2"/>
                </w:tcPr>
                <w:p w:rsidR="00D97F59" w:rsidRPr="00D97F59" w:rsidRDefault="00D97F59" w:rsidP="009A5194">
                  <w:pPr>
                    <w:pStyle w:val="Sinespaciado"/>
                    <w:framePr w:hSpace="150" w:wrap="around" w:vAnchor="text" w:hAnchor="margin" w:xAlign="center" w:y="-687"/>
                    <w:jc w:val="center"/>
                    <w:rPr>
                      <w:sz w:val="20"/>
                    </w:rPr>
                  </w:pPr>
                  <w:proofErr w:type="spellStart"/>
                  <w:r w:rsidRPr="00D97F59">
                    <w:rPr>
                      <w:sz w:val="20"/>
                    </w:rPr>
                    <w:t>Num</w:t>
                  </w:r>
                  <w:proofErr w:type="spellEnd"/>
                  <w:r w:rsidRPr="00D97F59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015" w:type="dxa"/>
                  <w:shd w:val="clear" w:color="auto" w:fill="E7E6E6" w:themeFill="background2"/>
                </w:tcPr>
                <w:p w:rsidR="00D97F59" w:rsidRPr="00D97F59" w:rsidRDefault="00D97F59" w:rsidP="009A5194">
                  <w:pPr>
                    <w:pStyle w:val="Sinespaciado"/>
                    <w:framePr w:hSpace="150" w:wrap="around" w:vAnchor="text" w:hAnchor="margin" w:xAlign="center" w:y="-687"/>
                    <w:jc w:val="center"/>
                    <w:rPr>
                      <w:sz w:val="20"/>
                    </w:rPr>
                  </w:pPr>
                  <w:r w:rsidRPr="00D97F59">
                    <w:rPr>
                      <w:sz w:val="20"/>
                    </w:rPr>
                    <w:t>Instancia</w:t>
                  </w:r>
                </w:p>
              </w:tc>
              <w:tc>
                <w:tcPr>
                  <w:tcW w:w="1903" w:type="dxa"/>
                  <w:shd w:val="clear" w:color="auto" w:fill="E7E6E6" w:themeFill="background2"/>
                </w:tcPr>
                <w:p w:rsidR="00D97F59" w:rsidRPr="00D97F59" w:rsidRDefault="00D97F59" w:rsidP="009A5194">
                  <w:pPr>
                    <w:pStyle w:val="Sinespaciado"/>
                    <w:framePr w:hSpace="150" w:wrap="around" w:vAnchor="text" w:hAnchor="margin" w:xAlign="center" w:y="-687"/>
                    <w:jc w:val="center"/>
                    <w:rPr>
                      <w:sz w:val="20"/>
                    </w:rPr>
                  </w:pPr>
                  <w:r w:rsidRPr="00D97F59">
                    <w:rPr>
                      <w:sz w:val="20"/>
                    </w:rPr>
                    <w:t>Curso</w:t>
                  </w:r>
                </w:p>
              </w:tc>
              <w:tc>
                <w:tcPr>
                  <w:tcW w:w="1358" w:type="dxa"/>
                  <w:shd w:val="clear" w:color="auto" w:fill="E7E6E6" w:themeFill="background2"/>
                </w:tcPr>
                <w:p w:rsidR="00D97F59" w:rsidRPr="00D97F59" w:rsidRDefault="00D97F59" w:rsidP="009A5194">
                  <w:pPr>
                    <w:pStyle w:val="Sinespaciado"/>
                    <w:framePr w:hSpace="150" w:wrap="around" w:vAnchor="text" w:hAnchor="margin" w:xAlign="center" w:y="-687"/>
                    <w:jc w:val="center"/>
                    <w:rPr>
                      <w:sz w:val="20"/>
                    </w:rPr>
                  </w:pPr>
                  <w:r w:rsidRPr="00D97F59">
                    <w:rPr>
                      <w:sz w:val="20"/>
                    </w:rPr>
                    <w:t>Destinatarios</w:t>
                  </w:r>
                </w:p>
              </w:tc>
              <w:tc>
                <w:tcPr>
                  <w:tcW w:w="3624" w:type="dxa"/>
                  <w:shd w:val="clear" w:color="auto" w:fill="E7E6E6" w:themeFill="background2"/>
                </w:tcPr>
                <w:p w:rsidR="00D97F59" w:rsidRPr="00D97F59" w:rsidRDefault="00D97F59" w:rsidP="009A5194">
                  <w:pPr>
                    <w:pStyle w:val="Sinespaciado"/>
                    <w:framePr w:hSpace="150" w:wrap="around" w:vAnchor="text" w:hAnchor="margin" w:xAlign="center" w:y="-687"/>
                    <w:jc w:val="center"/>
                    <w:rPr>
                      <w:sz w:val="20"/>
                    </w:rPr>
                  </w:pPr>
                  <w:r w:rsidRPr="00D97F59">
                    <w:rPr>
                      <w:sz w:val="20"/>
                    </w:rPr>
                    <w:t>Liga de inscripción</w:t>
                  </w:r>
                </w:p>
              </w:tc>
            </w:tr>
            <w:tr w:rsidR="00D97F59" w:rsidTr="00380C22">
              <w:tc>
                <w:tcPr>
                  <w:tcW w:w="661" w:type="dxa"/>
                </w:tcPr>
                <w:p w:rsidR="00D97F59" w:rsidRDefault="00D97F59" w:rsidP="009A5194">
                  <w:pPr>
                    <w:pStyle w:val="Sinespaciado"/>
                    <w:framePr w:hSpace="150" w:wrap="around" w:vAnchor="text" w:hAnchor="margin" w:xAlign="center" w:y="-687"/>
                    <w:jc w:val="center"/>
                  </w:pPr>
                  <w:r>
                    <w:t>1</w:t>
                  </w:r>
                </w:p>
              </w:tc>
              <w:tc>
                <w:tcPr>
                  <w:tcW w:w="2015" w:type="dxa"/>
                </w:tcPr>
                <w:p w:rsidR="00D97F59" w:rsidRDefault="00380C22" w:rsidP="009A5194">
                  <w:pPr>
                    <w:pStyle w:val="Sinespaciado"/>
                    <w:framePr w:hSpace="150" w:wrap="around" w:vAnchor="text" w:hAnchor="margin" w:xAlign="center" w:y="-687"/>
                    <w:jc w:val="both"/>
                  </w:pPr>
                  <w:r>
                    <w:t>EDUCARUNO S.A. de C.V.</w:t>
                  </w:r>
                </w:p>
              </w:tc>
              <w:tc>
                <w:tcPr>
                  <w:tcW w:w="1903" w:type="dxa"/>
                </w:tcPr>
                <w:p w:rsidR="00380C22" w:rsidRDefault="00380C22" w:rsidP="009A5194">
                  <w:pPr>
                    <w:pStyle w:val="Sinespaciado"/>
                    <w:framePr w:hSpace="150" w:wrap="around" w:vAnchor="text" w:hAnchor="margin" w:xAlign="center" w:y="-687"/>
                    <w:ind w:left="23" w:right="412" w:hanging="23"/>
                    <w:jc w:val="both"/>
                    <w:rPr>
                      <w:b/>
                    </w:rPr>
                  </w:pPr>
                  <w:r w:rsidRPr="00380C22">
                    <w:rPr>
                      <w:b/>
                    </w:rPr>
                    <w:t>Desarrollo de habilidades en estrategias de enseñanza</w:t>
                  </w:r>
                  <w:r>
                    <w:rPr>
                      <w:b/>
                    </w:rPr>
                    <w:t xml:space="preserve"> </w:t>
                  </w:r>
                </w:p>
                <w:p w:rsidR="00D97F59" w:rsidRDefault="00D97F59" w:rsidP="009A5194">
                  <w:pPr>
                    <w:pStyle w:val="Sinespaciado"/>
                    <w:framePr w:hSpace="150" w:wrap="around" w:vAnchor="text" w:hAnchor="margin" w:xAlign="center" w:y="-687"/>
                    <w:jc w:val="both"/>
                  </w:pPr>
                </w:p>
              </w:tc>
              <w:tc>
                <w:tcPr>
                  <w:tcW w:w="1358" w:type="dxa"/>
                  <w:vMerge w:val="restart"/>
                  <w:vAlign w:val="center"/>
                </w:tcPr>
                <w:p w:rsidR="00D97F59" w:rsidRDefault="00D97F59" w:rsidP="009A5194">
                  <w:pPr>
                    <w:pStyle w:val="Sinespaciado"/>
                    <w:framePr w:hSpace="150" w:wrap="around" w:vAnchor="text" w:hAnchor="margin" w:xAlign="center" w:y="-687"/>
                    <w:jc w:val="center"/>
                  </w:pPr>
                  <w:r>
                    <w:t>Docentes</w:t>
                  </w:r>
                </w:p>
                <w:p w:rsidR="00D97F59" w:rsidRDefault="00D97F59" w:rsidP="009A5194">
                  <w:pPr>
                    <w:pStyle w:val="Sinespaciado"/>
                    <w:framePr w:hSpace="150" w:wrap="around" w:vAnchor="text" w:hAnchor="margin" w:xAlign="center" w:y="-687"/>
                    <w:jc w:val="center"/>
                  </w:pPr>
                </w:p>
                <w:p w:rsidR="00380C22" w:rsidRDefault="00380C22" w:rsidP="009A5194">
                  <w:pPr>
                    <w:pStyle w:val="Sinespaciado"/>
                    <w:framePr w:hSpace="150" w:wrap="around" w:vAnchor="text" w:hAnchor="margin" w:xAlign="center" w:y="-687"/>
                    <w:jc w:val="center"/>
                  </w:pPr>
                </w:p>
              </w:tc>
              <w:tc>
                <w:tcPr>
                  <w:tcW w:w="3624" w:type="dxa"/>
                </w:tcPr>
                <w:p w:rsidR="00D97F59" w:rsidRDefault="00D97F59" w:rsidP="009A5194">
                  <w:pPr>
                    <w:pStyle w:val="Sinespaciado"/>
                    <w:framePr w:hSpace="150" w:wrap="around" w:vAnchor="text" w:hAnchor="margin" w:xAlign="center" w:y="-687"/>
                    <w:jc w:val="both"/>
                  </w:pPr>
                </w:p>
                <w:p w:rsidR="00D97F59" w:rsidRDefault="009A5194" w:rsidP="009A5194">
                  <w:pPr>
                    <w:pStyle w:val="Sinespaciado"/>
                    <w:framePr w:hSpace="150" w:wrap="around" w:vAnchor="text" w:hAnchor="margin" w:xAlign="center" w:y="-687"/>
                    <w:jc w:val="both"/>
                  </w:pPr>
                  <w:hyperlink r:id="rId5" w:history="1">
                    <w:r w:rsidR="00FA278E" w:rsidRPr="009E7022">
                      <w:rPr>
                        <w:rStyle w:val="Hipervnculo"/>
                      </w:rPr>
                      <w:t>http://bit.ly/EDUCARUNO-Fracciones</w:t>
                    </w:r>
                  </w:hyperlink>
                  <w:r w:rsidR="00FA278E">
                    <w:t xml:space="preserve"> </w:t>
                  </w:r>
                </w:p>
                <w:p w:rsidR="00FA278E" w:rsidRDefault="00FA278E" w:rsidP="009A5194">
                  <w:pPr>
                    <w:pStyle w:val="Sinespaciado"/>
                    <w:framePr w:hSpace="150" w:wrap="around" w:vAnchor="text" w:hAnchor="margin" w:xAlign="center" w:y="-687"/>
                    <w:jc w:val="both"/>
                  </w:pPr>
                </w:p>
                <w:p w:rsidR="00FA278E" w:rsidRDefault="00FA278E" w:rsidP="009A5194">
                  <w:pPr>
                    <w:pStyle w:val="Sinespaciado"/>
                    <w:framePr w:hSpace="150" w:wrap="around" w:vAnchor="text" w:hAnchor="margin" w:xAlign="center" w:y="-687"/>
                    <w:jc w:val="both"/>
                  </w:pPr>
                </w:p>
                <w:p w:rsidR="00FA278E" w:rsidRDefault="00FA278E" w:rsidP="009A5194">
                  <w:pPr>
                    <w:pStyle w:val="Sinespaciado"/>
                    <w:framePr w:hSpace="150" w:wrap="around" w:vAnchor="text" w:hAnchor="margin" w:xAlign="center" w:y="-687"/>
                    <w:jc w:val="both"/>
                  </w:pPr>
                </w:p>
              </w:tc>
            </w:tr>
            <w:tr w:rsidR="00D97F59" w:rsidTr="00380C22">
              <w:tc>
                <w:tcPr>
                  <w:tcW w:w="661" w:type="dxa"/>
                </w:tcPr>
                <w:p w:rsidR="00D97F59" w:rsidRDefault="00D97F59" w:rsidP="009A5194">
                  <w:pPr>
                    <w:pStyle w:val="Sinespaciado"/>
                    <w:framePr w:hSpace="150" w:wrap="around" w:vAnchor="text" w:hAnchor="margin" w:xAlign="center" w:y="-687"/>
                    <w:jc w:val="center"/>
                  </w:pPr>
                  <w:r>
                    <w:t>2</w:t>
                  </w:r>
                </w:p>
              </w:tc>
              <w:tc>
                <w:tcPr>
                  <w:tcW w:w="2015" w:type="dxa"/>
                </w:tcPr>
                <w:p w:rsidR="00D97F59" w:rsidRDefault="00D97F59" w:rsidP="009A5194">
                  <w:pPr>
                    <w:pStyle w:val="Sinespaciado"/>
                    <w:framePr w:hSpace="150" w:wrap="around" w:vAnchor="text" w:hAnchor="margin" w:xAlign="center" w:y="-687"/>
                    <w:jc w:val="both"/>
                  </w:pPr>
                  <w:r>
                    <w:t xml:space="preserve">Universidad </w:t>
                  </w:r>
                  <w:r w:rsidR="00FA278E">
                    <w:t>Técnica Superior de Xalapa</w:t>
                  </w:r>
                </w:p>
                <w:p w:rsidR="00FA278E" w:rsidRDefault="00FA278E" w:rsidP="009A5194">
                  <w:pPr>
                    <w:pStyle w:val="Sinespaciado"/>
                    <w:framePr w:hSpace="150" w:wrap="around" w:vAnchor="text" w:hAnchor="margin" w:xAlign="center" w:y="-687"/>
                    <w:jc w:val="both"/>
                  </w:pPr>
                  <w:r>
                    <w:t>(UNITEX)</w:t>
                  </w:r>
                </w:p>
              </w:tc>
              <w:tc>
                <w:tcPr>
                  <w:tcW w:w="1903" w:type="dxa"/>
                </w:tcPr>
                <w:p w:rsidR="00380C22" w:rsidRDefault="00380C22" w:rsidP="009A5194">
                  <w:pPr>
                    <w:pStyle w:val="Sinespaciado"/>
                    <w:framePr w:hSpace="150" w:wrap="around" w:vAnchor="text" w:hAnchor="margin" w:xAlign="center" w:y="-687"/>
                    <w:ind w:right="554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Enseñanza práctica de fracciones.</w:t>
                  </w:r>
                </w:p>
                <w:p w:rsidR="00380C22" w:rsidRPr="00380C22" w:rsidRDefault="00380C22" w:rsidP="009A5194">
                  <w:pPr>
                    <w:pStyle w:val="Sinespaciado"/>
                    <w:framePr w:hSpace="150" w:wrap="around" w:vAnchor="text" w:hAnchor="margin" w:xAlign="center" w:y="-687"/>
                    <w:jc w:val="both"/>
                    <w:rPr>
                      <w:b/>
                    </w:rPr>
                  </w:pPr>
                </w:p>
                <w:p w:rsidR="00D97F59" w:rsidRDefault="00D97F59" w:rsidP="009A5194">
                  <w:pPr>
                    <w:pStyle w:val="Sinespaciado"/>
                    <w:framePr w:hSpace="150" w:wrap="around" w:vAnchor="text" w:hAnchor="margin" w:xAlign="center" w:y="-687"/>
                    <w:jc w:val="both"/>
                  </w:pPr>
                </w:p>
              </w:tc>
              <w:tc>
                <w:tcPr>
                  <w:tcW w:w="1358" w:type="dxa"/>
                  <w:vMerge/>
                </w:tcPr>
                <w:p w:rsidR="00D97F59" w:rsidRDefault="00D97F59" w:rsidP="009A5194">
                  <w:pPr>
                    <w:pStyle w:val="Sinespaciado"/>
                    <w:framePr w:hSpace="150" w:wrap="around" w:vAnchor="text" w:hAnchor="margin" w:xAlign="center" w:y="-687"/>
                    <w:jc w:val="both"/>
                  </w:pPr>
                </w:p>
              </w:tc>
              <w:tc>
                <w:tcPr>
                  <w:tcW w:w="3624" w:type="dxa"/>
                </w:tcPr>
                <w:p w:rsidR="00D97F59" w:rsidRDefault="00D97F59" w:rsidP="009A5194">
                  <w:pPr>
                    <w:pStyle w:val="Sinespaciado"/>
                    <w:framePr w:hSpace="150" w:wrap="around" w:vAnchor="text" w:hAnchor="margin" w:xAlign="center" w:y="-687"/>
                    <w:jc w:val="both"/>
                  </w:pPr>
                </w:p>
                <w:p w:rsidR="00FA278E" w:rsidRDefault="009A5194" w:rsidP="009A5194">
                  <w:pPr>
                    <w:pStyle w:val="Sinespaciado"/>
                    <w:framePr w:hSpace="150" w:wrap="around" w:vAnchor="text" w:hAnchor="margin" w:xAlign="center" w:y="-687"/>
                    <w:jc w:val="both"/>
                  </w:pPr>
                  <w:hyperlink r:id="rId6" w:history="1">
                    <w:r w:rsidR="00FA278E" w:rsidRPr="009E7022">
                      <w:rPr>
                        <w:rStyle w:val="Hipervnculo"/>
                      </w:rPr>
                      <w:t>http://bit.ly/UNITEX-Habilidades</w:t>
                    </w:r>
                  </w:hyperlink>
                </w:p>
                <w:p w:rsidR="00FA278E" w:rsidRDefault="00FA278E" w:rsidP="009A5194">
                  <w:pPr>
                    <w:pStyle w:val="Sinespaciado"/>
                    <w:framePr w:hSpace="150" w:wrap="around" w:vAnchor="text" w:hAnchor="margin" w:xAlign="center" w:y="-687"/>
                    <w:jc w:val="both"/>
                  </w:pPr>
                </w:p>
              </w:tc>
            </w:tr>
          </w:tbl>
          <w:p w:rsidR="00D96DD9" w:rsidRDefault="00D96DD9" w:rsidP="00D3657A">
            <w:pPr>
              <w:spacing w:after="0" w:line="240" w:lineRule="auto"/>
              <w:jc w:val="both"/>
            </w:pPr>
          </w:p>
          <w:p w:rsidR="00D96DD9" w:rsidRDefault="00D96DD9" w:rsidP="00D3657A">
            <w:pPr>
              <w:spacing w:after="0" w:line="240" w:lineRule="auto"/>
              <w:jc w:val="center"/>
            </w:pPr>
          </w:p>
          <w:p w:rsidR="00D96DD9" w:rsidRPr="00387C9D" w:rsidRDefault="00380C22" w:rsidP="00D3657A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color w:val="212121"/>
                <w:lang w:eastAsia="es-MX"/>
              </w:rPr>
            </w:pPr>
            <w:r>
              <w:rPr>
                <w:rFonts w:eastAsia="Times New Roman" w:cs="Times New Roman"/>
                <w:bCs/>
                <w:iCs/>
                <w:color w:val="212121"/>
                <w:lang w:eastAsia="es-MX"/>
              </w:rPr>
              <w:t>Los</w:t>
            </w:r>
            <w:r w:rsidR="00D96DD9">
              <w:rPr>
                <w:rFonts w:eastAsia="Times New Roman" w:cs="Times New Roman"/>
                <w:bCs/>
                <w:iCs/>
                <w:color w:val="212121"/>
                <w:lang w:eastAsia="es-MX"/>
              </w:rPr>
              <w:t xml:space="preserve"> curso</w:t>
            </w:r>
            <w:r>
              <w:rPr>
                <w:rFonts w:eastAsia="Times New Roman" w:cs="Times New Roman"/>
                <w:bCs/>
                <w:iCs/>
                <w:color w:val="212121"/>
                <w:lang w:eastAsia="es-MX"/>
              </w:rPr>
              <w:t>s</w:t>
            </w:r>
            <w:r w:rsidR="00D96DD9">
              <w:rPr>
                <w:rFonts w:eastAsia="Times New Roman" w:cs="Times New Roman"/>
                <w:bCs/>
                <w:iCs/>
                <w:color w:val="212121"/>
                <w:lang w:eastAsia="es-MX"/>
              </w:rPr>
              <w:t xml:space="preserve"> tiene</w:t>
            </w:r>
            <w:r w:rsidR="00DE447F">
              <w:rPr>
                <w:rFonts w:eastAsia="Times New Roman" w:cs="Times New Roman"/>
                <w:bCs/>
                <w:iCs/>
                <w:color w:val="212121"/>
                <w:lang w:eastAsia="es-MX"/>
              </w:rPr>
              <w:t>n</w:t>
            </w:r>
            <w:r w:rsidR="00D96DD9">
              <w:rPr>
                <w:rFonts w:eastAsia="Times New Roman" w:cs="Times New Roman"/>
                <w:bCs/>
                <w:iCs/>
                <w:color w:val="212121"/>
                <w:lang w:eastAsia="es-MX"/>
              </w:rPr>
              <w:t xml:space="preserve"> una duración de </w:t>
            </w:r>
            <w:r w:rsidR="00D96DD9" w:rsidRPr="002D1A0B">
              <w:rPr>
                <w:rFonts w:eastAsia="Times New Roman" w:cs="Times New Roman"/>
                <w:bCs/>
                <w:iCs/>
                <w:color w:val="212121"/>
                <w:lang w:eastAsia="es-MX"/>
              </w:rPr>
              <w:t xml:space="preserve">40 horas </w:t>
            </w:r>
            <w:r w:rsidR="00D96DD9">
              <w:rPr>
                <w:rFonts w:eastAsia="Times New Roman" w:cs="Times New Roman"/>
                <w:bCs/>
                <w:iCs/>
                <w:color w:val="212121"/>
                <w:lang w:eastAsia="es-MX"/>
              </w:rPr>
              <w:t>y está</w:t>
            </w:r>
            <w:r w:rsidR="00504B5E">
              <w:rPr>
                <w:rFonts w:eastAsia="Times New Roman" w:cs="Times New Roman"/>
                <w:bCs/>
                <w:iCs/>
                <w:color w:val="212121"/>
                <w:lang w:eastAsia="es-MX"/>
              </w:rPr>
              <w:t>n</w:t>
            </w:r>
            <w:r w:rsidR="00D96DD9">
              <w:rPr>
                <w:rFonts w:eastAsia="Times New Roman" w:cs="Times New Roman"/>
                <w:bCs/>
                <w:iCs/>
                <w:color w:val="212121"/>
                <w:lang w:eastAsia="es-MX"/>
              </w:rPr>
              <w:t xml:space="preserve"> dirigido</w:t>
            </w:r>
            <w:r w:rsidR="00504B5E">
              <w:rPr>
                <w:rFonts w:eastAsia="Times New Roman" w:cs="Times New Roman"/>
                <w:bCs/>
                <w:iCs/>
                <w:color w:val="212121"/>
                <w:lang w:eastAsia="es-MX"/>
              </w:rPr>
              <w:t>s</w:t>
            </w:r>
            <w:r w:rsidR="00D96DD9">
              <w:rPr>
                <w:rFonts w:eastAsia="Times New Roman" w:cs="Times New Roman"/>
                <w:bCs/>
                <w:iCs/>
                <w:color w:val="212121"/>
                <w:lang w:eastAsia="es-MX"/>
              </w:rPr>
              <w:t xml:space="preserve"> </w:t>
            </w:r>
            <w:r w:rsidR="00D96DD9" w:rsidRPr="00EE2B2B">
              <w:rPr>
                <w:rFonts w:eastAsia="Times New Roman" w:cs="Times New Roman"/>
                <w:b/>
                <w:bCs/>
                <w:iCs/>
                <w:color w:val="212121"/>
                <w:lang w:eastAsia="es-MX"/>
              </w:rPr>
              <w:t>a personal d</w:t>
            </w:r>
            <w:r w:rsidR="00630F5E">
              <w:rPr>
                <w:rFonts w:eastAsia="Times New Roman" w:cs="Times New Roman"/>
                <w:b/>
                <w:bCs/>
                <w:iCs/>
                <w:color w:val="212121"/>
                <w:lang w:eastAsia="es-MX"/>
              </w:rPr>
              <w:t>ocente</w:t>
            </w:r>
            <w:r w:rsidR="00630F5E" w:rsidRPr="00630F5E">
              <w:rPr>
                <w:rFonts w:eastAsia="Times New Roman" w:cs="Times New Roman"/>
                <w:bCs/>
                <w:iCs/>
                <w:color w:val="212121"/>
                <w:lang w:eastAsia="es-MX"/>
              </w:rPr>
              <w:t>, serán impartidos en línea a través de la</w:t>
            </w:r>
            <w:r w:rsidR="00FA278E" w:rsidRPr="00630F5E">
              <w:rPr>
                <w:rFonts w:eastAsia="Times New Roman" w:cs="Times New Roman"/>
                <w:bCs/>
                <w:iCs/>
                <w:color w:val="212121"/>
                <w:lang w:eastAsia="es-MX"/>
              </w:rPr>
              <w:t xml:space="preserve"> Instancia formativa que corresponde.</w:t>
            </w:r>
            <w:r w:rsidR="00630F5E" w:rsidRPr="00630F5E">
              <w:rPr>
                <w:rFonts w:eastAsia="Times New Roman" w:cs="Times New Roman"/>
                <w:bCs/>
                <w:iCs/>
                <w:color w:val="212121"/>
                <w:lang w:eastAsia="es-MX"/>
              </w:rPr>
              <w:t xml:space="preserve"> El </w:t>
            </w:r>
            <w:r w:rsidR="00DE447F" w:rsidRPr="00630F5E">
              <w:rPr>
                <w:rFonts w:eastAsia="Times New Roman" w:cs="Times New Roman"/>
                <w:bCs/>
                <w:iCs/>
                <w:color w:val="212121"/>
                <w:lang w:eastAsia="es-MX"/>
              </w:rPr>
              <w:t>regist</w:t>
            </w:r>
            <w:r w:rsidR="00DE447F">
              <w:rPr>
                <w:rFonts w:eastAsia="Times New Roman" w:cs="Times New Roman"/>
                <w:bCs/>
                <w:iCs/>
                <w:color w:val="212121"/>
                <w:lang w:eastAsia="es-MX"/>
              </w:rPr>
              <w:t xml:space="preserve">ro </w:t>
            </w:r>
            <w:r w:rsidR="00DE447F" w:rsidRPr="00630F5E">
              <w:rPr>
                <w:rFonts w:eastAsia="Times New Roman" w:cs="Times New Roman"/>
                <w:bCs/>
                <w:iCs/>
                <w:color w:val="212121"/>
                <w:lang w:eastAsia="es-MX"/>
              </w:rPr>
              <w:t>podrá</w:t>
            </w:r>
            <w:r w:rsidR="00630F5E" w:rsidRPr="00630F5E">
              <w:rPr>
                <w:rFonts w:eastAsia="Times New Roman" w:cs="Times New Roman"/>
                <w:bCs/>
                <w:iCs/>
                <w:color w:val="212121"/>
                <w:lang w:eastAsia="es-MX"/>
              </w:rPr>
              <w:t xml:space="preserve"> realizar</w:t>
            </w:r>
            <w:r w:rsidR="00630F5E">
              <w:rPr>
                <w:rFonts w:eastAsia="Times New Roman" w:cs="Times New Roman"/>
                <w:bCs/>
                <w:iCs/>
                <w:color w:val="212121"/>
                <w:lang w:eastAsia="es-MX"/>
              </w:rPr>
              <w:t>se</w:t>
            </w:r>
            <w:r w:rsidR="00630F5E" w:rsidRPr="00630F5E">
              <w:rPr>
                <w:rFonts w:eastAsia="Times New Roman" w:cs="Times New Roman"/>
                <w:bCs/>
                <w:iCs/>
                <w:color w:val="212121"/>
                <w:lang w:eastAsia="es-MX"/>
              </w:rPr>
              <w:t xml:space="preserve"> a partir del </w:t>
            </w:r>
            <w:r w:rsidR="00630F5E" w:rsidRPr="00630F5E">
              <w:rPr>
                <w:rFonts w:eastAsia="Times New Roman" w:cs="Times New Roman"/>
                <w:b/>
                <w:bCs/>
                <w:iCs/>
                <w:color w:val="212121"/>
                <w:lang w:eastAsia="es-MX"/>
              </w:rPr>
              <w:t>13 de agosto</w:t>
            </w:r>
            <w:r w:rsidR="00630F5E">
              <w:rPr>
                <w:rFonts w:eastAsia="Times New Roman" w:cs="Times New Roman"/>
                <w:b/>
                <w:bCs/>
                <w:iCs/>
                <w:color w:val="212121"/>
                <w:lang w:eastAsia="es-MX"/>
              </w:rPr>
              <w:t xml:space="preserve"> en los enlaces indicados para cada oferta formativ</w:t>
            </w:r>
            <w:r w:rsidR="00DE447F">
              <w:rPr>
                <w:rFonts w:eastAsia="Times New Roman" w:cs="Times New Roman"/>
                <w:b/>
                <w:bCs/>
                <w:iCs/>
                <w:color w:val="212121"/>
                <w:lang w:eastAsia="es-MX"/>
              </w:rPr>
              <w:t xml:space="preserve">a; asimismo estará disponible en la página de: </w:t>
            </w:r>
            <w:hyperlink r:id="rId7" w:history="1">
              <w:r w:rsidR="00387C9D" w:rsidRPr="009E7022">
                <w:rPr>
                  <w:rStyle w:val="Hipervnculo"/>
                  <w:rFonts w:eastAsia="Times New Roman" w:cs="Times New Roman"/>
                  <w:b/>
                  <w:bCs/>
                  <w:iCs/>
                  <w:lang w:eastAsia="es-MX"/>
                </w:rPr>
                <w:t>www.sev.gob.mx/educacion-basica/actualizacion-magisterial/oferta-academica/</w:t>
              </w:r>
            </w:hyperlink>
            <w:r w:rsidR="00387C9D" w:rsidRPr="00387C9D">
              <w:rPr>
                <w:rFonts w:eastAsia="Times New Roman" w:cs="Times New Roman"/>
                <w:b/>
                <w:bCs/>
                <w:iCs/>
                <w:color w:val="212121"/>
                <w:lang w:eastAsia="es-MX"/>
              </w:rPr>
              <w:t xml:space="preserve"> </w:t>
            </w:r>
          </w:p>
          <w:p w:rsidR="00D96DD9" w:rsidRPr="00387C9D" w:rsidRDefault="00D96DD9" w:rsidP="00D3657A">
            <w:pPr>
              <w:spacing w:after="0" w:line="240" w:lineRule="auto"/>
              <w:jc w:val="both"/>
              <w:rPr>
                <w:rStyle w:val="Hipervnculo"/>
                <w:rFonts w:eastAsia="Times New Roman" w:cs="Times New Roman"/>
                <w:bCs/>
                <w:iCs/>
                <w:color w:val="212121"/>
                <w:u w:val="none"/>
                <w:lang w:eastAsia="es-MX"/>
              </w:rPr>
            </w:pPr>
            <w:r w:rsidRPr="00387C9D">
              <w:rPr>
                <w:rFonts w:eastAsia="Times New Roman" w:cs="Times New Roman"/>
                <w:bCs/>
                <w:iCs/>
                <w:color w:val="212121"/>
                <w:lang w:eastAsia="es-MX"/>
              </w:rPr>
              <w:t xml:space="preserve"> </w:t>
            </w:r>
          </w:p>
          <w:p w:rsidR="00D96DD9" w:rsidRDefault="00D96DD9" w:rsidP="00D3657A">
            <w:pPr>
              <w:spacing w:after="0" w:line="240" w:lineRule="auto"/>
              <w:jc w:val="both"/>
              <w:rPr>
                <w:rFonts w:eastAsia="Times New Roman" w:cs="Times New Roman"/>
                <w:bCs/>
                <w:i/>
                <w:iCs/>
                <w:color w:val="212121"/>
                <w:lang w:eastAsia="es-MX"/>
              </w:rPr>
            </w:pPr>
            <w:r w:rsidRPr="00BB3BD0">
              <w:rPr>
                <w:rFonts w:eastAsia="Times New Roman" w:cs="Times New Roman"/>
                <w:bCs/>
                <w:iCs/>
                <w:color w:val="212121"/>
                <w:lang w:eastAsia="es-MX"/>
              </w:rPr>
              <w:t xml:space="preserve">Para cualquier duda </w:t>
            </w:r>
            <w:r>
              <w:rPr>
                <w:rFonts w:eastAsia="Times New Roman" w:cs="Times New Roman"/>
                <w:bCs/>
                <w:iCs/>
                <w:color w:val="212121"/>
                <w:lang w:eastAsia="es-MX"/>
              </w:rPr>
              <w:t xml:space="preserve">acerca del </w:t>
            </w:r>
            <w:r w:rsidRPr="00630F5E">
              <w:rPr>
                <w:rFonts w:eastAsia="Times New Roman" w:cs="Times New Roman"/>
                <w:b/>
                <w:bCs/>
                <w:iCs/>
                <w:color w:val="212121"/>
                <w:lang w:eastAsia="es-MX"/>
              </w:rPr>
              <w:t>proceso de registro</w:t>
            </w:r>
            <w:r>
              <w:rPr>
                <w:rFonts w:eastAsia="Times New Roman" w:cs="Times New Roman"/>
                <w:bCs/>
                <w:iCs/>
                <w:color w:val="212121"/>
                <w:lang w:eastAsia="es-MX"/>
              </w:rPr>
              <w:t xml:space="preserve"> se puede comunicar</w:t>
            </w:r>
            <w:r w:rsidR="00DE447F">
              <w:rPr>
                <w:rFonts w:eastAsia="Times New Roman" w:cs="Times New Roman"/>
                <w:bCs/>
                <w:iCs/>
                <w:color w:val="212121"/>
                <w:lang w:eastAsia="es-MX"/>
              </w:rPr>
              <w:t xml:space="preserve"> al teléfono (228) 8-17-83-55 </w:t>
            </w:r>
            <w:r w:rsidR="005E4BB4">
              <w:rPr>
                <w:rFonts w:eastAsia="Times New Roman" w:cs="Times New Roman"/>
                <w:bCs/>
                <w:iCs/>
                <w:color w:val="212121"/>
                <w:lang w:eastAsia="es-MX"/>
              </w:rPr>
              <w:t xml:space="preserve">ext. 103 </w:t>
            </w:r>
            <w:r w:rsidR="00DE447F">
              <w:rPr>
                <w:rFonts w:eastAsia="Times New Roman" w:cs="Times New Roman"/>
                <w:bCs/>
                <w:iCs/>
                <w:color w:val="212121"/>
                <w:lang w:eastAsia="es-MX"/>
              </w:rPr>
              <w:t>o</w:t>
            </w:r>
            <w:r>
              <w:rPr>
                <w:rFonts w:eastAsia="Times New Roman" w:cs="Times New Roman"/>
                <w:bCs/>
                <w:iCs/>
                <w:color w:val="212121"/>
                <w:lang w:eastAsia="es-MX"/>
              </w:rPr>
              <w:t xml:space="preserve"> a la </w:t>
            </w:r>
            <w:r w:rsidRPr="00BB3BD0">
              <w:rPr>
                <w:rFonts w:eastAsia="Times New Roman" w:cs="Times New Roman"/>
                <w:bCs/>
                <w:i/>
                <w:iCs/>
                <w:color w:val="212121"/>
                <w:lang w:eastAsia="es-MX"/>
              </w:rPr>
              <w:t>Mesa de Ayuda</w:t>
            </w:r>
            <w:r>
              <w:rPr>
                <w:rFonts w:eastAsia="Times New Roman" w:cs="Times New Roman"/>
                <w:bCs/>
                <w:i/>
                <w:iCs/>
                <w:color w:val="212121"/>
                <w:lang w:eastAsia="es-MX"/>
              </w:rPr>
              <w:t>:</w:t>
            </w:r>
          </w:p>
          <w:p w:rsidR="00D96DD9" w:rsidRDefault="00D96DD9" w:rsidP="00D3657A">
            <w:pPr>
              <w:spacing w:after="0" w:line="240" w:lineRule="auto"/>
              <w:jc w:val="both"/>
              <w:rPr>
                <w:rFonts w:eastAsia="Times New Roman" w:cs="Times New Roman"/>
                <w:bCs/>
                <w:i/>
                <w:iCs/>
                <w:color w:val="212121"/>
                <w:lang w:eastAsia="es-MX"/>
              </w:rPr>
            </w:pPr>
          </w:p>
          <w:p w:rsidR="00D96DD9" w:rsidRDefault="009A5194" w:rsidP="00D3657A">
            <w:pPr>
              <w:spacing w:after="0" w:line="240" w:lineRule="auto"/>
              <w:jc w:val="both"/>
              <w:rPr>
                <w:rStyle w:val="Hipervnculo"/>
              </w:rPr>
            </w:pPr>
            <w:hyperlink r:id="rId8" w:history="1">
              <w:r w:rsidR="00630F5E" w:rsidRPr="009E7022">
                <w:rPr>
                  <w:rStyle w:val="Hipervnculo"/>
                </w:rPr>
                <w:t>mesadeayudaofertaformativaceam@gmail.com</w:t>
              </w:r>
            </w:hyperlink>
          </w:p>
          <w:p w:rsidR="00630F5E" w:rsidRDefault="00630F5E" w:rsidP="00D3657A">
            <w:pPr>
              <w:spacing w:after="0" w:line="240" w:lineRule="auto"/>
              <w:jc w:val="both"/>
              <w:rPr>
                <w:rStyle w:val="Hipervnculo"/>
              </w:rPr>
            </w:pPr>
          </w:p>
          <w:p w:rsidR="00CC69A0" w:rsidRPr="00DE447F" w:rsidRDefault="00CC69A0" w:rsidP="00630F5E">
            <w:pPr>
              <w:spacing w:after="0" w:line="240" w:lineRule="auto"/>
              <w:jc w:val="both"/>
            </w:pPr>
            <w:r>
              <w:rPr>
                <w:rStyle w:val="Hipervnculo"/>
                <w:color w:val="auto"/>
                <w:u w:val="none"/>
              </w:rPr>
              <w:t>Después de</w:t>
            </w:r>
            <w:r w:rsidR="00630F5E" w:rsidRPr="00630F5E">
              <w:rPr>
                <w:rStyle w:val="Hipervnculo"/>
                <w:color w:val="auto"/>
                <w:u w:val="none"/>
              </w:rPr>
              <w:t xml:space="preserve"> re</w:t>
            </w:r>
            <w:r w:rsidR="00E91418">
              <w:rPr>
                <w:rStyle w:val="Hipervnculo"/>
                <w:color w:val="auto"/>
                <w:u w:val="none"/>
              </w:rPr>
              <w:t>alizar su re</w:t>
            </w:r>
            <w:r>
              <w:rPr>
                <w:rStyle w:val="Hipervnculo"/>
                <w:color w:val="auto"/>
                <w:u w:val="none"/>
              </w:rPr>
              <w:t>gistro todo el soporte técnic</w:t>
            </w:r>
            <w:r w:rsidR="00E91418">
              <w:rPr>
                <w:rStyle w:val="Hipervnculo"/>
                <w:color w:val="auto"/>
                <w:u w:val="none"/>
              </w:rPr>
              <w:t>o académico</w:t>
            </w:r>
            <w:r>
              <w:rPr>
                <w:rStyle w:val="Hipervnculo"/>
                <w:color w:val="auto"/>
                <w:u w:val="none"/>
              </w:rPr>
              <w:t xml:space="preserve"> se llevará acabo con </w:t>
            </w:r>
            <w:r w:rsidR="00E91418">
              <w:rPr>
                <w:rStyle w:val="Hipervnculo"/>
                <w:color w:val="auto"/>
                <w:u w:val="none"/>
              </w:rPr>
              <w:t>la In</w:t>
            </w:r>
            <w:r>
              <w:rPr>
                <w:rStyle w:val="Hipervnculo"/>
                <w:color w:val="auto"/>
                <w:u w:val="none"/>
              </w:rPr>
              <w:t xml:space="preserve">stitución de Educación Superior </w:t>
            </w:r>
            <w:r w:rsidR="00DE447F">
              <w:rPr>
                <w:rStyle w:val="Hipervnculo"/>
                <w:color w:val="auto"/>
                <w:u w:val="none"/>
              </w:rPr>
              <w:t>correspondiente</w:t>
            </w:r>
            <w:r>
              <w:rPr>
                <w:rStyle w:val="Hipervnculo"/>
                <w:color w:val="auto"/>
                <w:u w:val="none"/>
              </w:rPr>
              <w:t>.</w:t>
            </w:r>
          </w:p>
        </w:tc>
      </w:tr>
    </w:tbl>
    <w:p w:rsidR="00D96DD9" w:rsidRPr="00C42C88" w:rsidRDefault="00D96DD9" w:rsidP="00D96DD9"/>
    <w:p w:rsidR="00D96DD9" w:rsidRDefault="00D96DD9" w:rsidP="00D96DD9"/>
    <w:p w:rsidR="00D96DD9" w:rsidRDefault="00D96DD9" w:rsidP="00D96DD9"/>
    <w:p w:rsidR="00AD3C04" w:rsidRDefault="00AD3C04"/>
    <w:sectPr w:rsidR="00AD3C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02075"/>
    <w:multiLevelType w:val="hybridMultilevel"/>
    <w:tmpl w:val="9F286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16582"/>
    <w:multiLevelType w:val="hybridMultilevel"/>
    <w:tmpl w:val="23EC92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D9"/>
    <w:rsid w:val="00380C22"/>
    <w:rsid w:val="00384A39"/>
    <w:rsid w:val="00387C9D"/>
    <w:rsid w:val="00504B5E"/>
    <w:rsid w:val="005E4BB4"/>
    <w:rsid w:val="00630F5E"/>
    <w:rsid w:val="006D2212"/>
    <w:rsid w:val="009A5194"/>
    <w:rsid w:val="00AD3C04"/>
    <w:rsid w:val="00CC69A0"/>
    <w:rsid w:val="00D96DD9"/>
    <w:rsid w:val="00D97F59"/>
    <w:rsid w:val="00DE447F"/>
    <w:rsid w:val="00E91418"/>
    <w:rsid w:val="00FA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6D2CD"/>
  <w15:chartTrackingRefBased/>
  <w15:docId w15:val="{52F27203-367B-48CB-BC09-74D04E7D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DD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6DD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96DD9"/>
    <w:pPr>
      <w:ind w:left="720"/>
      <w:contextualSpacing/>
    </w:pPr>
  </w:style>
  <w:style w:type="paragraph" w:styleId="Sinespaciado">
    <w:name w:val="No Spacing"/>
    <w:uiPriority w:val="1"/>
    <w:qFormat/>
    <w:rsid w:val="00D96DD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96D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6DD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6DD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6D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6DD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6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6DD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97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adeayudaofertaformativacea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v.gob.mx/educacion-basica/actualizacion-magisterial/oferta-academi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UNITEX-Habilidades" TargetMode="External"/><Relationship Id="rId5" Type="http://schemas.openxmlformats.org/officeDocument/2006/relationships/hyperlink" Target="http://bit.ly/EDUCARUNO-Fraccion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Anell Montiel</dc:creator>
  <cp:keywords/>
  <dc:description/>
  <cp:lastModifiedBy>Rubén hs</cp:lastModifiedBy>
  <cp:revision>4</cp:revision>
  <cp:lastPrinted>2018-08-13T20:24:00Z</cp:lastPrinted>
  <dcterms:created xsi:type="dcterms:W3CDTF">2018-08-13T20:53:00Z</dcterms:created>
  <dcterms:modified xsi:type="dcterms:W3CDTF">2018-08-14T17:39:00Z</dcterms:modified>
</cp:coreProperties>
</file>